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华文中宋" w:hAnsi="华文中宋" w:eastAsia="华文中宋" w:cs="华文中宋"/>
          <w:b w:val="0"/>
          <w:bCs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/>
          <w:sz w:val="32"/>
          <w:szCs w:val="32"/>
          <w:lang w:val="en-US" w:eastAsia="zh-CN"/>
        </w:rPr>
        <w:t>附件四：评分细则  评分表</w:t>
      </w:r>
    </w:p>
    <w:p>
      <w:pPr>
        <w:jc w:val="center"/>
        <w:rPr>
          <w:rFonts w:hint="eastAsia" w:ascii="华文中宋" w:hAnsi="华文中宋" w:eastAsia="华文中宋" w:cs="华文中宋"/>
          <w:b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sz w:val="32"/>
          <w:szCs w:val="32"/>
          <w:lang w:eastAsia="zh-CN"/>
        </w:rPr>
        <w:t>辽铁院大学生</w:t>
      </w:r>
      <w:r>
        <w:rPr>
          <w:rFonts w:hint="eastAsia" w:ascii="华文中宋" w:hAnsi="华文中宋" w:eastAsia="华文中宋" w:cs="华文中宋"/>
          <w:b/>
          <w:sz w:val="32"/>
          <w:szCs w:val="32"/>
        </w:rPr>
        <w:t>创新创业大赛</w:t>
      </w:r>
      <w:r>
        <w:rPr>
          <w:rFonts w:hint="eastAsia" w:ascii="华文中宋" w:hAnsi="华文中宋" w:eastAsia="华文中宋" w:cs="华文中宋"/>
          <w:b/>
          <w:sz w:val="32"/>
          <w:szCs w:val="32"/>
          <w:lang w:val="en-US" w:eastAsia="zh-CN"/>
        </w:rPr>
        <w:t>选拔赛</w:t>
      </w:r>
      <w:r>
        <w:rPr>
          <w:rFonts w:hint="eastAsia" w:ascii="华文中宋" w:hAnsi="华文中宋" w:eastAsia="华文中宋" w:cs="华文中宋"/>
          <w:b/>
          <w:sz w:val="32"/>
          <w:szCs w:val="32"/>
        </w:rPr>
        <w:t>评分</w:t>
      </w:r>
      <w:r>
        <w:rPr>
          <w:rFonts w:hint="eastAsia" w:ascii="华文中宋" w:hAnsi="华文中宋" w:eastAsia="华文中宋" w:cs="华文中宋"/>
          <w:b/>
          <w:sz w:val="32"/>
          <w:szCs w:val="32"/>
          <w:lang w:val="en-US" w:eastAsia="zh-CN"/>
        </w:rPr>
        <w:t>细则</w:t>
      </w:r>
    </w:p>
    <w:tbl>
      <w:tblPr>
        <w:tblStyle w:val="9"/>
        <w:tblpPr w:leftFromText="180" w:rightFromText="180" w:vertAnchor="text" w:horzAnchor="page" w:tblpXSpec="center" w:tblpY="135"/>
        <w:tblOverlap w:val="never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6206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712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6206" w:type="dxa"/>
          </w:tcPr>
          <w:p>
            <w:pPr>
              <w:spacing w:line="360" w:lineRule="auto"/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评价内容</w:t>
            </w:r>
          </w:p>
        </w:tc>
        <w:tc>
          <w:tcPr>
            <w:tcW w:w="1622" w:type="dxa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sz w:val="32"/>
                <w:szCs w:val="32"/>
                <w:lang w:eastAsia="zh-CN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  <w:jc w:val="center"/>
        </w:trPr>
        <w:tc>
          <w:tcPr>
            <w:tcW w:w="1712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创新性</w:t>
            </w:r>
          </w:p>
        </w:tc>
        <w:tc>
          <w:tcPr>
            <w:tcW w:w="6206" w:type="dxa"/>
            <w:vAlign w:val="center"/>
          </w:tcPr>
          <w:p>
            <w:pPr>
              <w:spacing w:line="360" w:lineRule="auto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简明、扼要，个性鲜明，具有吸引力；有明确的思路和目标，能突出自身特有的优势；技术领先，且适应现有消费水平；对技术前景判断合理、准确；需求分析合理。</w:t>
            </w:r>
          </w:p>
        </w:tc>
        <w:tc>
          <w:tcPr>
            <w:tcW w:w="1622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  <w:jc w:val="center"/>
        </w:trPr>
        <w:tc>
          <w:tcPr>
            <w:tcW w:w="1712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商业模式及战略</w:t>
            </w:r>
          </w:p>
        </w:tc>
        <w:tc>
          <w:tcPr>
            <w:tcW w:w="6206" w:type="dxa"/>
            <w:vAlign w:val="center"/>
          </w:tcPr>
          <w:p>
            <w:pPr>
              <w:spacing w:line="360" w:lineRule="auto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商业模式明确、合理；公司市场定位准确；形象设计及创业理念出色；全盘战略目标合理、明确。</w:t>
            </w:r>
          </w:p>
        </w:tc>
        <w:tc>
          <w:tcPr>
            <w:tcW w:w="1622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1712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市场分析</w:t>
            </w:r>
          </w:p>
        </w:tc>
        <w:tc>
          <w:tcPr>
            <w:tcW w:w="6206" w:type="dxa"/>
            <w:vAlign w:val="center"/>
          </w:tcPr>
          <w:p>
            <w:pPr>
              <w:spacing w:line="360" w:lineRule="auto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市场竞争状况及各自优势认识清楚，分析透彻；对市场份额及市场走势预测合理；市场定位准确。</w:t>
            </w:r>
          </w:p>
        </w:tc>
        <w:tc>
          <w:tcPr>
            <w:tcW w:w="1622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  <w:jc w:val="center"/>
        </w:trPr>
        <w:tc>
          <w:tcPr>
            <w:tcW w:w="1712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项目团队（个人）</w:t>
            </w:r>
          </w:p>
        </w:tc>
        <w:tc>
          <w:tcPr>
            <w:tcW w:w="6206" w:type="dxa"/>
            <w:vAlign w:val="center"/>
          </w:tcPr>
          <w:p>
            <w:pPr>
              <w:spacing w:line="360" w:lineRule="auto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创业团队的完整性、互补性、稳定性和行业背景及资源整合能力</w:t>
            </w:r>
            <w:r>
              <w:rPr>
                <w:rFonts w:hint="eastAsia"/>
                <w:sz w:val="32"/>
                <w:szCs w:val="32"/>
                <w:lang w:eastAsia="zh-CN"/>
              </w:rPr>
              <w:t>、个人语言表达、思路清晰</w:t>
            </w:r>
          </w:p>
        </w:tc>
        <w:tc>
          <w:tcPr>
            <w:tcW w:w="1622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  <w:jc w:val="center"/>
        </w:trPr>
        <w:tc>
          <w:tcPr>
            <w:tcW w:w="1712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风险</w:t>
            </w: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预估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解决方案</w:t>
            </w:r>
          </w:p>
        </w:tc>
        <w:tc>
          <w:tcPr>
            <w:tcW w:w="6206" w:type="dxa"/>
            <w:vAlign w:val="center"/>
          </w:tcPr>
          <w:p>
            <w:pPr>
              <w:spacing w:line="360" w:lineRule="auto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对风险和问题认识深刻，估计充分；客观阐述本项目面临的技术、市场、财务等关键风险和问题，提出合理可行的规避计划，解决方案合理有效。</w:t>
            </w:r>
          </w:p>
        </w:tc>
        <w:tc>
          <w:tcPr>
            <w:tcW w:w="1622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79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合     计</w:t>
            </w:r>
          </w:p>
        </w:tc>
        <w:tc>
          <w:tcPr>
            <w:tcW w:w="1622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100</w:t>
            </w:r>
          </w:p>
        </w:tc>
      </w:tr>
    </w:tbl>
    <w:p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8"/>
        <w:tblpPr w:leftFromText="180" w:rightFromText="180" w:vertAnchor="text" w:horzAnchor="page" w:tblpX="1333" w:tblpY="557"/>
        <w:tblOverlap w:val="never"/>
        <w:tblW w:w="940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2"/>
        <w:gridCol w:w="1105"/>
        <w:gridCol w:w="1342"/>
        <w:gridCol w:w="1460"/>
        <w:gridCol w:w="1460"/>
        <w:gridCol w:w="1345"/>
        <w:gridCol w:w="134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9400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辽铁院大学生创新创业大赛选拔赛评分表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342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出场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序号</w:t>
            </w:r>
          </w:p>
        </w:tc>
        <w:tc>
          <w:tcPr>
            <w:tcW w:w="67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单项所得分</w:t>
            </w:r>
          </w:p>
        </w:tc>
        <w:tc>
          <w:tcPr>
            <w:tcW w:w="13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  <w:jc w:val="center"/>
        </w:trPr>
        <w:tc>
          <w:tcPr>
            <w:tcW w:w="1342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创新性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商业模式 战略部署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市场分析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项目团队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风险预估解决方案</w:t>
            </w:r>
          </w:p>
        </w:tc>
        <w:tc>
          <w:tcPr>
            <w:tcW w:w="13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342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342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342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342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342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342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342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342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342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9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342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342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11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342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342" w:type="dxa"/>
            <w:vMerge w:val="restart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备注</w:t>
            </w:r>
          </w:p>
        </w:tc>
        <w:tc>
          <w:tcPr>
            <w:tcW w:w="390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裁 判：</w:t>
            </w:r>
          </w:p>
        </w:tc>
        <w:tc>
          <w:tcPr>
            <w:tcW w:w="2691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342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90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合分员：</w:t>
            </w:r>
          </w:p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342" w:type="dxa"/>
            <w:vMerge w:val="continue"/>
            <w:tcBorders>
              <w:top w:val="nil"/>
              <w:left w:val="single" w:color="auto" w:sz="12" w:space="0"/>
              <w:bottom w:val="single" w:color="000000" w:sz="12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90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日 期：</w:t>
            </w:r>
          </w:p>
        </w:tc>
        <w:tc>
          <w:tcPr>
            <w:tcW w:w="2691" w:type="dxa"/>
            <w:gridSpan w:val="2"/>
            <w:tcBorders>
              <w:top w:val="nil"/>
              <w:left w:val="nil"/>
              <w:bottom w:val="single" w:color="auto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年  月  日</w:t>
            </w:r>
          </w:p>
        </w:tc>
      </w:tr>
    </w:tbl>
    <w:p>
      <w:pPr>
        <w:jc w:val="both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BC7E1E"/>
    <w:rsid w:val="0BF57675"/>
    <w:rsid w:val="0F284ACE"/>
    <w:rsid w:val="138B3F80"/>
    <w:rsid w:val="25E2384A"/>
    <w:rsid w:val="2A110B35"/>
    <w:rsid w:val="2E8C40C9"/>
    <w:rsid w:val="35396203"/>
    <w:rsid w:val="38711239"/>
    <w:rsid w:val="3CA53335"/>
    <w:rsid w:val="47901226"/>
    <w:rsid w:val="4A4767CF"/>
    <w:rsid w:val="559E16D9"/>
    <w:rsid w:val="5804449F"/>
    <w:rsid w:val="60C52AAB"/>
    <w:rsid w:val="62E5028A"/>
    <w:rsid w:val="6823515A"/>
    <w:rsid w:val="789810DC"/>
    <w:rsid w:val="794D23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qFormat/>
    <w:uiPriority w:val="1"/>
  </w:style>
  <w:style w:type="table" w:default="1" w:styleId="8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Date"/>
    <w:basedOn w:val="1"/>
    <w:next w:val="1"/>
    <w:link w:val="17"/>
    <w:qFormat/>
    <w:uiPriority w:val="99"/>
    <w:pPr>
      <w:ind w:left="100" w:leftChars="2500"/>
    </w:pPr>
  </w:style>
  <w:style w:type="paragraph" w:styleId="4">
    <w:name w:val="Balloon Text"/>
    <w:basedOn w:val="1"/>
    <w:link w:val="15"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</w:rPr>
  </w:style>
  <w:style w:type="character" w:styleId="12">
    <w:name w:val="Hyperlink"/>
    <w:basedOn w:val="10"/>
    <w:qFormat/>
    <w:uiPriority w:val="99"/>
    <w:rPr>
      <w:color w:val="0000FF"/>
      <w:u w:val="single"/>
    </w:rPr>
  </w:style>
  <w:style w:type="character" w:customStyle="1" w:styleId="13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5">
    <w:name w:val="批注框文本 Char"/>
    <w:basedOn w:val="10"/>
    <w:link w:val="4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日期 Char"/>
    <w:basedOn w:val="10"/>
    <w:link w:val="3"/>
    <w:qFormat/>
    <w:uiPriority w:val="99"/>
  </w:style>
  <w:style w:type="character" w:customStyle="1" w:styleId="18">
    <w:name w:val="font21"/>
    <w:basedOn w:val="10"/>
    <w:qFormat/>
    <w:uiPriority w:val="0"/>
    <w:rPr>
      <w:rFonts w:hint="eastAsia" w:ascii="仿宋_GB2312" w:eastAsia="仿宋_GB2312" w:cs="仿宋_GB2312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A616AC-9DC0-439B-AA5E-5B4E26FC1E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3868</Words>
  <Characters>4131</Characters>
  <Paragraphs>566</Paragraphs>
  <TotalTime>52</TotalTime>
  <ScaleCrop>false</ScaleCrop>
  <LinksUpToDate>false</LinksUpToDate>
  <CharactersWithSpaces>4461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2017-03-07T06:55:00Z</dcterms:created>
  <dc:creator>yifan</dc:creator>
  <cp:lastModifiedBy>曲久植</cp:lastModifiedBy>
  <cp:lastPrinted>2018-11-05T01:16:00Z</cp:lastPrinted>
  <dcterms:modified xsi:type="dcterms:W3CDTF">2019-11-27T02:37:00Z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